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92AF" w14:textId="62FE4800" w:rsidR="00380D66" w:rsidRPr="00B91E7D" w:rsidRDefault="00891C57" w:rsidP="00F57023">
      <w:pPr>
        <w:spacing w:after="0" w:line="240" w:lineRule="auto"/>
        <w:rPr>
          <w:i/>
        </w:rPr>
      </w:pPr>
      <w:r w:rsidRPr="00B91E7D">
        <w:rPr>
          <w:i/>
        </w:rPr>
        <w:t xml:space="preserve">Herrn / Frau </w:t>
      </w:r>
    </w:p>
    <w:p w14:paraId="0751BEF3" w14:textId="307116CE" w:rsidR="00891C57" w:rsidRPr="00B91E7D" w:rsidRDefault="00891C57" w:rsidP="00F57023">
      <w:pPr>
        <w:spacing w:after="0" w:line="240" w:lineRule="auto"/>
        <w:rPr>
          <w:i/>
        </w:rPr>
      </w:pPr>
      <w:r w:rsidRPr="00B91E7D">
        <w:rPr>
          <w:i/>
        </w:rPr>
        <w:t>Bundestagsabgeordnete/n</w:t>
      </w:r>
    </w:p>
    <w:p w14:paraId="658971BA" w14:textId="5F9CEAEC" w:rsidR="00891C57" w:rsidRPr="00B91E7D" w:rsidRDefault="00891C57" w:rsidP="00F57023">
      <w:pPr>
        <w:spacing w:after="0" w:line="240" w:lineRule="auto"/>
        <w:rPr>
          <w:i/>
        </w:rPr>
      </w:pPr>
      <w:r w:rsidRPr="00B91E7D">
        <w:rPr>
          <w:i/>
        </w:rPr>
        <w:t>………</w:t>
      </w:r>
    </w:p>
    <w:p w14:paraId="0173759E" w14:textId="5CD52CFA" w:rsidR="0014156E" w:rsidRPr="00B91E7D" w:rsidRDefault="0014156E" w:rsidP="00F57023">
      <w:pPr>
        <w:spacing w:after="0" w:line="240" w:lineRule="auto"/>
        <w:rPr>
          <w:i/>
          <w:iCs/>
        </w:rPr>
      </w:pPr>
      <w:r w:rsidRPr="00B91E7D">
        <w:rPr>
          <w:i/>
          <w:iCs/>
        </w:rPr>
        <w:t>[Adresse s. Excel-Liste]</w:t>
      </w:r>
    </w:p>
    <w:p w14:paraId="25F180A0" w14:textId="37CDBC35" w:rsidR="00891C57" w:rsidRDefault="00891C57" w:rsidP="00F57023">
      <w:pPr>
        <w:spacing w:after="0" w:line="240" w:lineRule="auto"/>
      </w:pPr>
    </w:p>
    <w:p w14:paraId="03F3C890" w14:textId="77777777" w:rsidR="00891C57" w:rsidRDefault="00891C57" w:rsidP="00F57023">
      <w:pPr>
        <w:spacing w:after="0" w:line="240" w:lineRule="auto"/>
      </w:pPr>
    </w:p>
    <w:p w14:paraId="638A078D" w14:textId="77777777" w:rsidR="00891C57" w:rsidRDefault="00891C57" w:rsidP="00F57023">
      <w:pPr>
        <w:spacing w:after="0" w:line="240" w:lineRule="auto"/>
      </w:pPr>
    </w:p>
    <w:p w14:paraId="4D55B5E4" w14:textId="6E2235A1" w:rsidR="00891C57" w:rsidRDefault="00891C57" w:rsidP="00B91E7D">
      <w:pPr>
        <w:spacing w:after="0" w:line="240" w:lineRule="auto"/>
        <w:jc w:val="both"/>
      </w:pPr>
      <w:r>
        <w:t xml:space="preserve">Sehr </w:t>
      </w:r>
      <w:r w:rsidRPr="00B91E7D">
        <w:rPr>
          <w:i/>
        </w:rPr>
        <w:t>geehrte/r Frau/Herr Abgeordnete/r,</w:t>
      </w:r>
      <w:r>
        <w:t xml:space="preserve"> </w:t>
      </w:r>
    </w:p>
    <w:p w14:paraId="3F6EF454" w14:textId="77777777" w:rsidR="00891C57" w:rsidRDefault="00891C57" w:rsidP="00B91E7D">
      <w:pPr>
        <w:spacing w:after="0" w:line="240" w:lineRule="auto"/>
        <w:jc w:val="both"/>
      </w:pPr>
    </w:p>
    <w:p w14:paraId="75889AC1" w14:textId="77777777" w:rsidR="00891C57" w:rsidRDefault="00891C57" w:rsidP="00B91E7D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am 19. April hat das Bundeskabinett den Entwurf zum neuen Gebäudeenergiegesetz (GEG) beschlossen. </w:t>
      </w:r>
    </w:p>
    <w:p w14:paraId="14A5CA76" w14:textId="77777777" w:rsidR="00891C57" w:rsidRDefault="00891C57" w:rsidP="00B91E7D">
      <w:pPr>
        <w:spacing w:after="0" w:line="240" w:lineRule="auto"/>
        <w:jc w:val="both"/>
        <w:rPr>
          <w:color w:val="000000"/>
        </w:rPr>
      </w:pPr>
    </w:p>
    <w:p w14:paraId="3754DD85" w14:textId="77777777" w:rsidR="00891C57" w:rsidRPr="0014156E" w:rsidRDefault="00891C57" w:rsidP="00B91E7D">
      <w:pPr>
        <w:spacing w:after="0" w:line="240" w:lineRule="auto"/>
        <w:jc w:val="both"/>
        <w:rPr>
          <w:color w:val="000000"/>
        </w:rPr>
      </w:pPr>
      <w:r w:rsidRPr="0014156E">
        <w:rPr>
          <w:color w:val="000000"/>
        </w:rPr>
        <w:t>Das Gesetz ist in der jetzigen Form ein Frontalangriff gegen die Holzenergie und damit gegen den ländlichen Raum.</w:t>
      </w:r>
    </w:p>
    <w:p w14:paraId="75B871E7" w14:textId="77777777" w:rsidR="00891C57" w:rsidRPr="0014156E" w:rsidRDefault="00891C57" w:rsidP="00B91E7D">
      <w:pPr>
        <w:spacing w:after="0" w:line="240" w:lineRule="auto"/>
        <w:jc w:val="both"/>
        <w:rPr>
          <w:color w:val="000000"/>
        </w:rPr>
      </w:pPr>
    </w:p>
    <w:p w14:paraId="4B27D790" w14:textId="3F567D73" w:rsidR="0014156E" w:rsidRDefault="00891C57" w:rsidP="00B91E7D">
      <w:pPr>
        <w:spacing w:after="0" w:line="240" w:lineRule="auto"/>
        <w:jc w:val="both"/>
        <w:rPr>
          <w:color w:val="000000"/>
        </w:rPr>
      </w:pPr>
      <w:r w:rsidRPr="0014156E">
        <w:rPr>
          <w:color w:val="000000"/>
        </w:rPr>
        <w:t xml:space="preserve">Für </w:t>
      </w:r>
      <w:r w:rsidR="0014156E">
        <w:rPr>
          <w:color w:val="000000"/>
        </w:rPr>
        <w:t>mich als Waldbesitzer</w:t>
      </w:r>
      <w:r w:rsidRPr="0014156E">
        <w:rPr>
          <w:color w:val="000000"/>
        </w:rPr>
        <w:t xml:space="preserve"> bedeutet der Gesetzentwurf einen enteignungsgleichen Eingriff, </w:t>
      </w:r>
      <w:r w:rsidR="0014156E">
        <w:rPr>
          <w:color w:val="000000"/>
        </w:rPr>
        <w:t>meinen</w:t>
      </w:r>
      <w:r w:rsidRPr="0014156E">
        <w:rPr>
          <w:color w:val="000000"/>
        </w:rPr>
        <w:t xml:space="preserve"> eigenen Rohstoff </w:t>
      </w:r>
      <w:r w:rsidR="00555A75">
        <w:rPr>
          <w:color w:val="000000"/>
        </w:rPr>
        <w:t xml:space="preserve">Holz </w:t>
      </w:r>
      <w:r w:rsidRPr="0014156E">
        <w:rPr>
          <w:color w:val="000000"/>
        </w:rPr>
        <w:t xml:space="preserve">energetisch </w:t>
      </w:r>
      <w:r w:rsidR="0014156E">
        <w:rPr>
          <w:color w:val="000000"/>
        </w:rPr>
        <w:t xml:space="preserve">nicht mehr </w:t>
      </w:r>
      <w:r w:rsidRPr="0014156E">
        <w:rPr>
          <w:color w:val="000000"/>
        </w:rPr>
        <w:t>nutzen</w:t>
      </w:r>
      <w:r w:rsidR="0014156E">
        <w:rPr>
          <w:color w:val="000000"/>
        </w:rPr>
        <w:t xml:space="preserve"> </w:t>
      </w:r>
      <w:r w:rsidR="00555A75">
        <w:rPr>
          <w:color w:val="000000"/>
        </w:rPr>
        <w:t xml:space="preserve">darf. Dies wäre die zwangsläufige Konsequenz, wenn tatsächlich zukünftig folgendes gelten sollte: </w:t>
      </w:r>
    </w:p>
    <w:p w14:paraId="3DB21913" w14:textId="77777777" w:rsidR="00555A75" w:rsidRDefault="00555A75" w:rsidP="00B91E7D">
      <w:pPr>
        <w:spacing w:after="0" w:line="240" w:lineRule="auto"/>
        <w:jc w:val="both"/>
        <w:rPr>
          <w:color w:val="000000"/>
        </w:rPr>
      </w:pPr>
    </w:p>
    <w:p w14:paraId="07D3C3B8" w14:textId="77777777" w:rsidR="00F57023" w:rsidRDefault="00F57023" w:rsidP="00B91E7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Keine Anerkennung von Holz als erneuerbare Energiequelle für das „65 %-Ziel“ im Neubau; damit wären Pellet-, Scheitholz- und Hackschnitzelzentralheizungen im Neubau verboten.</w:t>
      </w:r>
    </w:p>
    <w:p w14:paraId="62082363" w14:textId="77777777" w:rsidR="00F57023" w:rsidRDefault="00F57023" w:rsidP="00B91E7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Auch kleinere Nachbarschaftsnetzwerke bis 16 Wohneinheiten werden dabei wie eine Einzelheizung bzw. ein Einzelgebäude betrachtet. </w:t>
      </w:r>
    </w:p>
    <w:p w14:paraId="6D4279FC" w14:textId="70C720D9" w:rsidR="00F57023" w:rsidRDefault="00F57023" w:rsidP="00B91E7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Auch der Anschluss an eine bestehende Holz-Heizung bei Neubau in unmittelbarer Nähe (z. B. Bau von Altenteil bzw. Bau für Hofnachfolger) soll nicht möglich sein, obwohl der Anschluss an eine solche Holzheizung i</w:t>
      </w:r>
      <w:r w:rsidR="00555A75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 xml:space="preserve"> unmittelbarer Nachbarschaft zum bestehenden Gebäude meist sehr sinnvoll ist. </w:t>
      </w:r>
      <w:bookmarkStart w:id="0" w:name="_GoBack"/>
      <w:bookmarkEnd w:id="0"/>
    </w:p>
    <w:p w14:paraId="2A4E9D67" w14:textId="77777777" w:rsidR="00F57023" w:rsidRDefault="00F57023" w:rsidP="00B91E7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Bei bestehenden Gebäuden darf eine neue Holz-Zentralheizung nur in Kombination mit einer solarthermischen Anlage oder einer Photovoltaik-Anlage, einem Staubabscheider sowie einem Pufferspeicher eingebaut werden (Kombinationspflicht). </w:t>
      </w:r>
    </w:p>
    <w:p w14:paraId="69E7F0FE" w14:textId="77777777" w:rsidR="00F57023" w:rsidRDefault="00F57023" w:rsidP="00B91E7D">
      <w:pPr>
        <w:spacing w:after="0" w:line="240" w:lineRule="auto"/>
        <w:jc w:val="both"/>
        <w:rPr>
          <w:color w:val="000000"/>
        </w:rPr>
      </w:pPr>
    </w:p>
    <w:p w14:paraId="2FE4D03A" w14:textId="4CB84539" w:rsidR="007A4521" w:rsidRDefault="007A4521" w:rsidP="00B91E7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Dies macht deutlich, wie wenig durchdacht und nachbesserungsbedürftig der Gesetzesentwurf ist. </w:t>
      </w:r>
    </w:p>
    <w:p w14:paraId="59FE8D9D" w14:textId="77777777" w:rsidR="007A4521" w:rsidRPr="0014156E" w:rsidRDefault="007A4521" w:rsidP="00B91E7D">
      <w:pPr>
        <w:spacing w:after="0" w:line="240" w:lineRule="auto"/>
        <w:jc w:val="both"/>
        <w:rPr>
          <w:color w:val="000000"/>
        </w:rPr>
      </w:pPr>
    </w:p>
    <w:p w14:paraId="12C77D2E" w14:textId="77777777" w:rsidR="00B91E7D" w:rsidRDefault="00B91E7D" w:rsidP="00B91E7D">
      <w:pPr>
        <w:spacing w:after="0" w:line="240" w:lineRule="auto"/>
        <w:jc w:val="both"/>
        <w:rPr>
          <w:color w:val="000000"/>
        </w:rPr>
      </w:pPr>
    </w:p>
    <w:p w14:paraId="317A319A" w14:textId="0E6D50F5" w:rsidR="0014156E" w:rsidRDefault="00B27E3B" w:rsidP="00B91E7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Ich fordere Sie daher </w:t>
      </w:r>
      <w:r w:rsidR="007A4521">
        <w:rPr>
          <w:color w:val="000000"/>
        </w:rPr>
        <w:t xml:space="preserve">mit Nachdruck dazu </w:t>
      </w:r>
      <w:r>
        <w:rPr>
          <w:color w:val="000000"/>
        </w:rPr>
        <w:t xml:space="preserve">auf, diesen Gesetzesentwurf im parlamentarischen Verfahren </w:t>
      </w:r>
      <w:r w:rsidR="007A4521">
        <w:rPr>
          <w:color w:val="000000"/>
        </w:rPr>
        <w:t xml:space="preserve">zu verbessern, so dass ich auch zukünftig </w:t>
      </w:r>
      <w:r w:rsidR="00E95C6B">
        <w:rPr>
          <w:color w:val="000000"/>
        </w:rPr>
        <w:t xml:space="preserve">uneingeschränkt </w:t>
      </w:r>
      <w:r w:rsidR="007A4521">
        <w:rPr>
          <w:color w:val="000000"/>
        </w:rPr>
        <w:t>mein eigenes Holz zu</w:t>
      </w:r>
      <w:r w:rsidR="00E95C6B">
        <w:rPr>
          <w:color w:val="000000"/>
        </w:rPr>
        <w:t xml:space="preserve"> Heizzwecken </w:t>
      </w:r>
      <w:r w:rsidR="007A4521">
        <w:rPr>
          <w:color w:val="000000"/>
        </w:rPr>
        <w:t xml:space="preserve">nutzen kann. </w:t>
      </w:r>
    </w:p>
    <w:p w14:paraId="1A8D7D38" w14:textId="77777777" w:rsidR="007A4521" w:rsidRDefault="007A4521" w:rsidP="00B91E7D">
      <w:pPr>
        <w:spacing w:after="0" w:line="240" w:lineRule="auto"/>
        <w:jc w:val="both"/>
        <w:rPr>
          <w:color w:val="000000"/>
        </w:rPr>
      </w:pPr>
    </w:p>
    <w:p w14:paraId="42E43311" w14:textId="77777777" w:rsidR="007A4521" w:rsidRDefault="007A4521" w:rsidP="00B91E7D">
      <w:pPr>
        <w:spacing w:after="0" w:line="240" w:lineRule="auto"/>
        <w:jc w:val="both"/>
        <w:rPr>
          <w:color w:val="000000"/>
        </w:rPr>
      </w:pPr>
    </w:p>
    <w:p w14:paraId="248C6A84" w14:textId="77777777" w:rsidR="00B91E7D" w:rsidRDefault="00B91E7D" w:rsidP="00B91E7D">
      <w:pPr>
        <w:spacing w:after="0" w:line="240" w:lineRule="auto"/>
        <w:jc w:val="both"/>
        <w:rPr>
          <w:color w:val="000000"/>
        </w:rPr>
      </w:pPr>
    </w:p>
    <w:p w14:paraId="266035CA" w14:textId="0A1A0DB4" w:rsidR="007A4521" w:rsidRDefault="007A4521" w:rsidP="00B91E7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Mit freundlichen Grüßen</w:t>
      </w:r>
    </w:p>
    <w:p w14:paraId="1631EAAC" w14:textId="77777777" w:rsidR="00B91E7D" w:rsidRDefault="00B91E7D" w:rsidP="00B91E7D">
      <w:pPr>
        <w:spacing w:after="0" w:line="240" w:lineRule="auto"/>
        <w:jc w:val="both"/>
        <w:rPr>
          <w:color w:val="000000"/>
        </w:rPr>
      </w:pPr>
    </w:p>
    <w:p w14:paraId="44070ADA" w14:textId="6E109D3E" w:rsidR="007A4521" w:rsidRPr="00B91E7D" w:rsidRDefault="007A4521" w:rsidP="00B91E7D">
      <w:pPr>
        <w:spacing w:after="0" w:line="240" w:lineRule="auto"/>
        <w:jc w:val="both"/>
        <w:rPr>
          <w:i/>
          <w:color w:val="000000"/>
        </w:rPr>
      </w:pPr>
      <w:r w:rsidRPr="00B91E7D">
        <w:rPr>
          <w:i/>
          <w:color w:val="000000"/>
        </w:rPr>
        <w:t>Waldbesitzer</w:t>
      </w:r>
      <w:r w:rsidR="00B91E7D" w:rsidRPr="00B91E7D">
        <w:rPr>
          <w:i/>
          <w:color w:val="000000"/>
        </w:rPr>
        <w:t>/in</w:t>
      </w:r>
      <w:r w:rsidRPr="00B91E7D">
        <w:rPr>
          <w:i/>
          <w:color w:val="000000"/>
        </w:rPr>
        <w:t xml:space="preserve"> XYZ</w:t>
      </w:r>
    </w:p>
    <w:sectPr w:rsidR="007A4521" w:rsidRPr="00B91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61F9"/>
    <w:multiLevelType w:val="hybridMultilevel"/>
    <w:tmpl w:val="0686BB06"/>
    <w:lvl w:ilvl="0" w:tplc="D3249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55B2F"/>
    <w:multiLevelType w:val="hybridMultilevel"/>
    <w:tmpl w:val="B9604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7"/>
    <w:rsid w:val="0014156E"/>
    <w:rsid w:val="00380D66"/>
    <w:rsid w:val="00555A75"/>
    <w:rsid w:val="006A1DE2"/>
    <w:rsid w:val="007A4521"/>
    <w:rsid w:val="00891C57"/>
    <w:rsid w:val="00B27E3B"/>
    <w:rsid w:val="00B91E7D"/>
    <w:rsid w:val="00DA5777"/>
    <w:rsid w:val="00E95C6B"/>
    <w:rsid w:val="00F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A8F3"/>
  <w15:chartTrackingRefBased/>
  <w15:docId w15:val="{E187539E-EB1B-41F7-94E3-AC23BD57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Seling | AGDW – Die Waldeigentümer</dc:creator>
  <cp:keywords/>
  <dc:description/>
  <cp:lastModifiedBy>Martina Möhl</cp:lastModifiedBy>
  <cp:revision>2</cp:revision>
  <dcterms:created xsi:type="dcterms:W3CDTF">2023-04-25T12:32:00Z</dcterms:created>
  <dcterms:modified xsi:type="dcterms:W3CDTF">2023-04-25T12:32:00Z</dcterms:modified>
</cp:coreProperties>
</file>